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EC" w:rsidRDefault="00192DC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0" distB="0" distL="0" distR="0">
            <wp:extent cx="5905500" cy="955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955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2BEC" w:rsidRDefault="00702BEC">
      <w:pPr>
        <w:jc w:val="center"/>
        <w:rPr>
          <w:b/>
          <w:sz w:val="24"/>
          <w:szCs w:val="24"/>
        </w:rPr>
      </w:pPr>
    </w:p>
    <w:p w:rsidR="00073C8D" w:rsidRDefault="00073C8D" w:rsidP="00073C8D">
      <w:pPr>
        <w:spacing w:line="240" w:lineRule="auto"/>
        <w:jc w:val="center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  <w:r w:rsidRPr="00073C8D">
        <w:rPr>
          <w:rFonts w:ascii="Tahoma" w:eastAsia="Times New Roman" w:hAnsi="Tahoma" w:cs="Tahoma"/>
          <w:b/>
          <w:bCs/>
          <w:color w:val="000000"/>
          <w:sz w:val="24"/>
          <w:szCs w:val="24"/>
          <w:lang w:val="hy-AM"/>
        </w:rPr>
        <w:t xml:space="preserve">Տեխնիկական </w:t>
      </w: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առաջադրանք    </w:t>
      </w:r>
    </w:p>
    <w:p w:rsidR="00073C8D" w:rsidRPr="00073C8D" w:rsidRDefault="00073C8D" w:rsidP="00073C8D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  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Default="00073C8D" w:rsidP="00073C8D">
      <w:pPr>
        <w:spacing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b/>
          <w:bCs/>
          <w:color w:val="000000"/>
          <w:sz w:val="24"/>
          <w:szCs w:val="24"/>
          <w:lang w:val="hy-AM"/>
        </w:rPr>
        <w:t>ՀՀ-ում անգործունակության ինստիտուտին առնչվող իրավակարգավորումների վերանայման և աջակցության միջոցով որոշումների կայացման մեխանիզմի ներդրման և կիրարկման իրավական կարգավորումների փաթեթի մշակման վերաբերյալ</w:t>
      </w:r>
      <w:r w:rsidRPr="00073C8D">
        <w:rPr>
          <w:rFonts w:ascii="Tahoma" w:eastAsia="Times New Roman" w:hAnsi="Tahoma" w:cs="Tahoma"/>
          <w:color w:val="000000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:rsidR="00073C8D" w:rsidRPr="00073C8D" w:rsidRDefault="00073C8D" w:rsidP="00073C8D">
      <w:pPr>
        <w:shd w:val="clear" w:color="auto" w:fill="FFFFFF"/>
        <w:spacing w:after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Հելսիկյան քաղաքացիական ասամբլեայի Վանաձորի գրասենյակը հրավիրում է ֆիզիկական և իրավաբանական անձանց ներկայացնելու գնային առաջարկ ՀՀ-ում անգործունակության ինստիտուտին առնչվող իրավակարգավորումների վերանայման և աջակցության միջոցով որոշումների կայացման մեխանիզմի ներդրման և կիրարկման իրավական կարգավորումների փաթեթի մշակման համար։   </w:t>
      </w:r>
    </w:p>
    <w:p w:rsidR="00073C8D" w:rsidRDefault="00073C8D" w:rsidP="00073C8D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sz w:val="24"/>
          <w:szCs w:val="24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Փաթեթի մշակումն իրականացվում է «Իրավունքներ, ծառայություններ և մասնակցություն․ Հայաստանում հոգեկան առողջության համապարփակ շրջանակի խթանում» եռամյա (2024-2026 թթ․) ծրագրի շրջանակներում։ 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</w:p>
    <w:p w:rsidR="00073C8D" w:rsidRPr="00073C8D" w:rsidRDefault="00073C8D" w:rsidP="00073C8D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Ծրագրի մասին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Ծրագիրն իրականացվում է Հելսինկյան քաղաքացիական ասամբլեայի Վանաձորի գրասենյակի, Ժողովրդավարության զարգացման հիմնադրամի, «Հաշմանդամություն ունեցող անձանց իրավունքների օրակարգ» ՀԿ-ի և Հոգեկան առողջության հայկական ասոցիացիայի կողմից՝ Եվրոպական միության աջակցությամբ։  </w:t>
      </w:r>
    </w:p>
    <w:p w:rsidR="00073C8D" w:rsidRPr="00073C8D" w:rsidRDefault="00073C8D" w:rsidP="00073C8D">
      <w:pPr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Ծրագրի նպատակն է աջակցել հոգեկան առողջության ոլորտում իրավունքահեն մոտեցման ներդրմանը, որը կօգնի մշակել մատչելի և ներառական հոգեկան առողջության ծառայությունների մեխանիզմներ և քաղաքականություն, ինչպես նաև խթանել հասարակության դրական վերաբերմունքը Հայաստանում հոգեկան առողջության խնդիրների նկատմամբ: </w:t>
      </w:r>
    </w:p>
    <w:p w:rsidR="00073C8D" w:rsidRPr="00073C8D" w:rsidRDefault="00073C8D" w:rsidP="00073C8D">
      <w:pPr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Ծրագրի խնդիրներն են՝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4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մշակել հոգեկան առողջության ոլորտի համար իրավունքահեն քաղաքականություն՝ ՄԱԿ-ի համապատասխան կոնվենցիաներին և միջազգային չափանիշներին համապատասխան,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5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իրականացնել ջատագովություն իրավունքահեն քաղաքականությունների ներդրման և լավարկման ուղղությամբ,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6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իրականացնել ջատագովություն գործող հոգեսոցիալական ծառայությունների լավարկման ուղղությամբ,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7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lastRenderedPageBreak/>
        <w:t>մշակել և փորձարկել ՀՀ-ում հոգեկան առողջության համայնքային նոր ծառայությունների մոդելներ և վաղ հայտնաբերման մեխանիզմներ,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8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բարձրացնել հասարակության իրազեկվածությունն ու հետաքրքրությունը հոգեկան առողջության խնդիրների վերաբերյալ՝ շեշտը դնելով առկա խարանի և խտրական վերաբերմունքի նվազեցման վրա: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color w:val="212529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b/>
          <w:bCs/>
          <w:color w:val="212529"/>
          <w:sz w:val="24"/>
          <w:szCs w:val="24"/>
          <w:lang w:val="hy-AM"/>
        </w:rPr>
        <w:t>Ընդհանուր տեղեկություններ թեմայի վերաբերյալ</w:t>
      </w:r>
      <w:r w:rsidRPr="00073C8D">
        <w:rPr>
          <w:rFonts w:ascii="Tahoma" w:eastAsia="Times New Roman" w:hAnsi="Tahoma" w:cs="Tahoma"/>
          <w:color w:val="212529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Հոգեկան առողջության խնդիրներ ունեցող անձանց իրավունքներն ամրագրված են Հաշմանդամություն ունեցող անձանց իրավունքների մասին ՄԱԿ-ի 2006 թ. կոնվենցիայում, որը Հայաստանը վավերացրել է 2010 թ.։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Հոգեկան առողջության խնդիրներ ունեցող անձանց իրավունքների պաշտպանության վերաբերյալ կարևոր դրույթներ են ներառում նաև Հայաստանի կողմից վավերացված այլ կոնվենցիաներ՝ ՄԱԿ-ի Մարդու իրավունքների համընդհանուր հռչակագիր, Քաղաքացիական և քաղաքական իրավունքների միջազգային դաշնագիր, Տնտեսական, սոցիալական և մշակութային իրավունքների միջազգային դաշնագիր և այլն։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ՀՀ Սահմանադրությունն ամրագրում է բոլորի, այդ թվում՝ հոգեկան առողջության խնդիրներ ունեցող անձանց սահմանադրական իրավունքները։ Միևնույն ժամանակ այն նախատեսում է սահմանափակող դրույթներ հոգեկան առողջության խնդիրներ ունեցող անձանց իրավունքների վերաբերյալ։ Ինչպես օրինակ՝ Սահմանադրությամբ սահմանափակվում է անգործունակ ճանաչված հոգեկան առողջության խնդիրներ անձանց ընտրելու և ընտրվելու իրավունքը։ </w:t>
      </w:r>
    </w:p>
    <w:p w:rsidR="00073C8D" w:rsidRPr="00073C8D" w:rsidRDefault="00073C8D" w:rsidP="00073C8D">
      <w:pPr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Հայաստանի ՀՀ քաղաքացիական օրենսգրքի 31-րդ հոդվածի համաձայն` քաղաքացին, որը հոգեկան խանգարման հետևանքով չի կարող հասկանալ իր գործողությունների նշանակությունը կամ ղեկավարել դրանք, կարող է դատարանով անգործունակ ճանաչվել` Հայաստանի Հանրապետության քաղաքացիական դատավարության օրենսգրքով սահմանված կարգով: Նրա նկատմամբ սահմանվում է խնամակալություն: Հաշմանդամություն ունեցող անձանց իրավունքների մասին ՄԱԿ-ի կոնվենցիայի 12-րդ հոդվածը, մինչդեռ, սահմանում է, որ հաշմանդամություն ունեցող անձինք մյուսների հետ հավասար հիմունքներով ունեն գործունակություն կյանքի բոլոր ոլորտներում: Մասնավորապես, Կոնվենցիայի 12-րդ հոդվածի 3-րդ մասի համաձայն՝ մասնակից պետությունները ձեռնարկում են համապատասխան միջոցներ, որ հաշմանդամություն ունեցող անձանց համար մատչելի դարձնեն այն աջակցությունը, որը կարող է պահանջվել նրանց գործունակությունը կիրառելիս: Այսինքն, Կոնվենցիայի վավերացմամբ մասնակից պետությունները պետք է, ի թիվս այլնի, ձեռնպահ մնան հոգեկան առողջության խնդիրներ ունեցող անձանց գործունակությունից զրկելուց և տրամադրեն այն աջակցությունը, որն անհրաժեշտ է որոշումներ կայացնելու համար: </w:t>
      </w:r>
    </w:p>
    <w:p w:rsidR="00073C8D" w:rsidRDefault="00073C8D" w:rsidP="00073C8D">
      <w:pPr>
        <w:spacing w:before="24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Մարդու իրավունքների պաշտպանության ազգային ռազմավարությունից բխող 2020-2022 թթ․ գործողությունների ծրագրում ՀՀ կառավարության N 1030-L 2021 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lastRenderedPageBreak/>
        <w:t xml:space="preserve">թ․ </w:t>
      </w:r>
      <w:bookmarkStart w:id="0" w:name="_GoBack"/>
      <w:r w:rsidRPr="00073C8D">
        <w:rPr>
          <w:rFonts w:ascii="Tahoma" w:eastAsia="Times New Roman" w:hAnsi="Tahoma" w:cs="Tahoma"/>
          <w:sz w:val="24"/>
          <w:szCs w:val="24"/>
          <w:lang w:val="hy-AM"/>
        </w:rPr>
        <w:t>հունի</w:t>
      </w:r>
      <w:bookmarkEnd w:id="0"/>
      <w:r w:rsidRPr="00073C8D">
        <w:rPr>
          <w:rFonts w:ascii="Tahoma" w:eastAsia="Times New Roman" w:hAnsi="Tahoma" w:cs="Tahoma"/>
          <w:sz w:val="24"/>
          <w:szCs w:val="24"/>
          <w:lang w:val="hy-AM"/>
        </w:rPr>
        <w:t>սի 24-ի որոշմամբ</w:t>
      </w:r>
      <w:r w:rsidRPr="00073C8D">
        <w:rPr>
          <w:rFonts w:ascii="Tahoma" w:eastAsia="Times New Roman" w:hAnsi="Tahoma" w:cs="Tahoma"/>
          <w:color w:val="212529"/>
          <w:sz w:val="24"/>
          <w:szCs w:val="24"/>
          <w:lang w:val="hy-AM"/>
        </w:rPr>
        <w:t xml:space="preserve"> </w:t>
      </w:r>
      <w:hyperlink r:id="rId8" w:tgtFrame="_blank" w:history="1">
        <w:r w:rsidRPr="00073C8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val="hy-AM"/>
          </w:rPr>
          <w:t>նախատեսվել էր</w:t>
        </w:r>
      </w:hyperlink>
      <w:r w:rsidRPr="00073C8D">
        <w:rPr>
          <w:rFonts w:ascii="Tahoma" w:eastAsia="Times New Roman" w:hAnsi="Tahoma" w:cs="Tahoma"/>
          <w:color w:val="212529"/>
          <w:sz w:val="24"/>
          <w:szCs w:val="24"/>
          <w:lang w:val="hy-AM"/>
        </w:rPr>
        <w:t xml:space="preserve"> 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>ապահովել հոգեկան առողջության խնդիրներ ունեցող անձանց՝ իրենց վերաբերող հարցերում որոշումներ կայացնելու իրավունքը, այդ թվում՝ ներդնելով աջակցության միջոցով որոշումների կայացման մեխանիզմ։ 2022 թ․ նոյեմբերի 2-ին իրավական ակտերի նախագծերի հրապարակման միասնական կայքում հանրային քննարկման է դրվել «Անգործունակության ինստիտուտին առնչվող իրավակարգավորումների վերանայման և աջակցման միջոցով որոշումների կայացման մեխանիզմի ներդրման գործողությունների ծրագիրը հաստատելու</w:t>
      </w:r>
      <w:r w:rsidRPr="00073C8D">
        <w:rPr>
          <w:rFonts w:ascii="Tahoma" w:eastAsia="Times New Roman" w:hAnsi="Tahoma" w:cs="Tahoma"/>
          <w:color w:val="212529"/>
          <w:sz w:val="24"/>
          <w:szCs w:val="24"/>
          <w:lang w:val="hy-AM"/>
        </w:rPr>
        <w:t xml:space="preserve"> 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>մասին»</w:t>
      </w:r>
      <w:r w:rsidRPr="00073C8D">
        <w:rPr>
          <w:rFonts w:ascii="Tahoma" w:eastAsia="Times New Roman" w:hAnsi="Tahoma" w:cs="Tahoma"/>
          <w:color w:val="212529"/>
          <w:sz w:val="24"/>
          <w:szCs w:val="24"/>
          <w:lang w:val="hy-AM"/>
        </w:rPr>
        <w:t xml:space="preserve"> </w:t>
      </w:r>
      <w:hyperlink r:id="rId9" w:tgtFrame="_blank" w:history="1">
        <w:r w:rsidRPr="00073C8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val="hy-AM"/>
          </w:rPr>
          <w:t>ՀՀ կառավարության որոշման նախագիծը</w:t>
        </w:r>
      </w:hyperlink>
      <w:r w:rsidRPr="00073C8D">
        <w:rPr>
          <w:rFonts w:ascii="Tahoma" w:eastAsia="Times New Roman" w:hAnsi="Tahoma" w:cs="Tahoma"/>
          <w:color w:val="212529"/>
          <w:sz w:val="24"/>
          <w:szCs w:val="24"/>
          <w:lang w:val="hy-AM"/>
        </w:rPr>
        <w:t xml:space="preserve">, 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>որը, սակայն, չի հաստատվել։ </w:t>
      </w:r>
    </w:p>
    <w:p w:rsidR="00073C8D" w:rsidRPr="00073C8D" w:rsidRDefault="00073C8D" w:rsidP="00073C8D">
      <w:pPr>
        <w:shd w:val="clear" w:color="auto" w:fill="FFFFFF"/>
        <w:spacing w:before="24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b/>
          <w:bCs/>
          <w:color w:val="212529"/>
          <w:sz w:val="24"/>
          <w:szCs w:val="24"/>
          <w:lang w:val="hy-AM"/>
        </w:rPr>
        <w:t>Ծառայության նպատակ ու արդյունքներ </w:t>
      </w:r>
    </w:p>
    <w:p w:rsidR="00073C8D" w:rsidRDefault="00073C8D" w:rsidP="00073C8D">
      <w:pPr>
        <w:spacing w:before="240" w:after="24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Մշակել համապարփակ իրավական ակտերի փաթեթ, որն ապահովում է հոգեկան առողջության խնդիրներ ունեցող անձանց համար աջակցության միջոցով որոշումների կայացման արդյունավետ և մարդու իրավունքներին համահունչ համակարգի ներդրում և կիրարկում Հայաստանում։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b/>
          <w:bCs/>
          <w:color w:val="212529"/>
          <w:sz w:val="24"/>
          <w:szCs w:val="24"/>
          <w:lang w:val="hy-AM"/>
        </w:rPr>
        <w:t>Ծառայություն մատուցողի պարտականություններ</w:t>
      </w:r>
      <w:r w:rsidRPr="00073C8D">
        <w:rPr>
          <w:rFonts w:ascii="Tahoma" w:eastAsia="Times New Roman" w:hAnsi="Tahoma" w:cs="Tahoma"/>
          <w:color w:val="212529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Ծառայություն մատուցողը պետք է Հելսինկյան քաղաքացիական ասամբլեայի Վանաձորի գրասենյակին տրամադրի աջակցության միջոցով որոշումների կայացման մեխանիզմի ներդրման և կիրարկման օրենսդրական փոփոխությունների փաթեթի նախագիծ, որը կերաշխավորի հոգեկան առողջության խնդիրներ ունեցող անձանց գործունակության ճանաչումը և անհրաժեշտ աջակցությունը՝ որոշումների կայացման ընթացքում։ Փաթեթը պետք է ներառի՝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9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նախագծի հակիրճ բնութագիր,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0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օրենսդրական փոփոխությունների հիմնավորում,  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1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վերաբերելի օրենսդրական և ենթաօրենսդրական ակտերում փոփոխություններ և լրացումներ կատարելու վերաբերյալ առաջարկությունների նախագծեր,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2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աջակցության միջոցով որոշումների կայացման մեխանիզմի գործարկման ընթացակարգեր (մեթոդական ուղեցույցներ և ձևաթղթեր)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3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որոշումներ կայացնելիս աջակցության կարիք ունեցող անձանց աջակցողի որակավորման, վկայագրման և վերահսկման մեխանիզմների նախագծեր (մեթոդական ուղեցույցներ և ձևաթղթեր)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4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անցումային մեխանիզմներ՝ անգործունակության ինստիտուտից դեպի աջակցության միջոցով որոշումների կայացման համակարգ։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Default="00073C8D" w:rsidP="00073C8D">
      <w:pPr>
        <w:shd w:val="clear" w:color="auto" w:fill="FFFFFF"/>
        <w:spacing w:before="240" w:line="240" w:lineRule="auto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Ծառայություն մատուցողը պետք է Հելսինկյան քաղաքացիական ասամբլեայի Վանաձորի գրասենյակի կազմակերպած հանդիպումների և քննարկումների ընթացքում համապատասխան շահագրգիռ կողմերին ներկայացնի իրավական կարգավորումների փաթեթը և ըստ անհրաժեշտության վերանայի այն։ 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Պահանջվող որակավորում և փորձ</w:t>
      </w:r>
      <w:r w:rsidRPr="00073C8D">
        <w:rPr>
          <w:rFonts w:ascii="Tahoma" w:eastAsia="Times New Roman" w:hAnsi="Tahoma" w:cs="Tahoma"/>
          <w:b/>
          <w:bCs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5"/>
        </w:numPr>
        <w:shd w:val="clear" w:color="auto" w:fill="FFFFFF"/>
        <w:spacing w:before="240"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Բարձրագույն իրավաբանական կրթություն </w:t>
      </w:r>
      <w:r w:rsidRPr="00073C8D">
        <w:rPr>
          <w:rFonts w:ascii="Tahoma" w:eastAsia="Times New Roman" w:hAnsi="Tahoma" w:cs="Tahoma"/>
          <w:color w:val="000000"/>
          <w:sz w:val="24"/>
          <w:szCs w:val="24"/>
          <w:lang w:val="hy-AM"/>
        </w:rPr>
        <w:t>(իրավաբանական անձանց դեպքում՝ պատասխանատուների բարձրագույն կրթություն)</w:t>
      </w:r>
      <w:r w:rsidRPr="00073C8D">
        <w:rPr>
          <w:rFonts w:ascii="Tahoma" w:eastAsia="Times New Roman" w:hAnsi="Tahoma" w:cs="Tahoma"/>
          <w:color w:val="000000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6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lastRenderedPageBreak/>
        <w:t>Օրենսդրական նախագծերի, քաղաքականությունների մշակման, օրենսդրական վերլուծությունների, հետազոտությունների իրականացման կամ հարակից այլ ոլորտներում համապատասխան փորձ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7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Հոգեկան առողջության և մարդու իրավունքների մասին հիմնական գիտելիքներ և արժևորում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8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Գիտելիքներ հոգեկան առողջության խնդիրներ ունեցող անձանց իրավունքների և հիմնախնդիրների, ինչպես նաև միջազգային լավագույն փորձի վերաբերյալ 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19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Հաղորդակցվելու և թիմում աշխատելու հմտություններ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20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color w:val="212529"/>
          <w:sz w:val="24"/>
          <w:szCs w:val="24"/>
          <w:lang w:val="hy-AM"/>
        </w:rPr>
        <w:t>Գր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>ական հայերենի գերազանց և անգլերենի իմացություն</w:t>
      </w:r>
    </w:p>
    <w:p w:rsidR="00073C8D" w:rsidRPr="00073C8D" w:rsidRDefault="00073C8D" w:rsidP="00073C8D">
      <w:pPr>
        <w:shd w:val="clear" w:color="auto" w:fill="FFFFFF"/>
        <w:spacing w:line="240" w:lineRule="auto"/>
        <w:ind w:left="36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Default="00073C8D" w:rsidP="00073C8D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Ծառայությունների մատուցման և վճարման ժամանակացույց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291911" w:rsidRPr="00073C8D" w:rsidRDefault="00291911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:rsidR="00073C8D" w:rsidRPr="00291911" w:rsidRDefault="00073C8D" w:rsidP="0029191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color w:val="000000"/>
          <w:sz w:val="24"/>
          <w:szCs w:val="24"/>
          <w:lang w:val="hy-AM"/>
        </w:rPr>
        <w:t xml:space="preserve">Աշխատանքի սկիզբը՝ 2025 թ․ </w:t>
      </w:r>
      <w:r w:rsidR="00291911" w:rsidRPr="0029191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հունիսի 20</w:t>
      </w:r>
      <w:r w:rsidRPr="00073C8D">
        <w:rPr>
          <w:rFonts w:ascii="Tahoma" w:eastAsia="Times New Roman" w:hAnsi="Tahoma" w:cs="Tahoma"/>
          <w:color w:val="000000"/>
          <w:sz w:val="24"/>
          <w:szCs w:val="24"/>
          <w:lang w:val="hy-AM"/>
        </w:rPr>
        <w:t xml:space="preserve">։ </w:t>
      </w:r>
      <w:r w:rsidRPr="00073C8D">
        <w:rPr>
          <w:rFonts w:ascii="Tahoma" w:eastAsia="Times New Roman" w:hAnsi="Tahoma" w:cs="Tahoma"/>
          <w:color w:val="000000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color w:val="000000"/>
          <w:sz w:val="24"/>
          <w:szCs w:val="24"/>
          <w:lang w:val="hy-AM"/>
        </w:rPr>
        <w:t xml:space="preserve">Տևողությունը՝ 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>6 ամիս։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Ծառայության մատուցման մանրամասն ժամանակացույցը կորոշվի գործողության իրականացման սկզբում: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Մատուցվող ծառայության դիմաց վճարումները կկատարվեն երեք մասով՝ հետևյալ պլանի համաձայն.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21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ծառայության մատուցման վճարի 20%-ը` աջակցության միջոցով որոշումների կայացման մեխանիզմի ներդրման և կիրարկման իրավական կարգավորումների փաթեթի նախնական տարբերակը ներկայացնելուց հետո,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22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ծառայության մատուցման վճարի 50%-ը՝ համապատասխան շահագրգիռ կողմերի հետ հանդիպումներ իրականացնելուց և համապատասխան դիտարկումները հավաքագրելուց հետո,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23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ծառայության մատուցման վճարի 30%-ը՝ աջակցության միջոցով</w:t>
      </w:r>
      <w:r w:rsidRPr="00073C8D">
        <w:rPr>
          <w:rFonts w:ascii="Tahoma" w:eastAsia="Times New Roman" w:hAnsi="Tahoma" w:cs="Tahoma"/>
          <w:color w:val="212529"/>
          <w:sz w:val="24"/>
          <w:szCs w:val="24"/>
          <w:lang w:val="hy-AM"/>
        </w:rPr>
        <w:t xml:space="preserve"> 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>որոշումների կայացման մեխանիզմի ներդրման և կիրարկման իրավական կարգավորումների փաթեթի վերջնական տարբերակի ներկայացումից հետո։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Դիմելու ընթացակարգ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Դիմող անձանց խնդրում ենք ներկայացնել՝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24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ինքնակենսագրություն (CV) </w:t>
      </w:r>
      <w:r w:rsidRPr="00073C8D">
        <w:rPr>
          <w:rFonts w:ascii="Tahoma" w:eastAsia="Times New Roman" w:hAnsi="Tahoma" w:cs="Tahoma"/>
          <w:i/>
          <w:iCs/>
          <w:color w:val="000000"/>
          <w:sz w:val="20"/>
          <w:szCs w:val="20"/>
          <w:lang w:val="hy-AM"/>
        </w:rPr>
        <w:t>(ֆիզիկական անձանցից բաղկացած խմբի դեպքում՝ բոլոր անդամներինը, իրավաբանական անձանց դեպքում երկու հիմնական փորձագետներինը)</w:t>
      </w:r>
      <w:r w:rsidRPr="00073C8D">
        <w:rPr>
          <w:rFonts w:ascii="Tahoma" w:eastAsia="Times New Roman" w:hAnsi="Tahoma" w:cs="Tahoma"/>
          <w:color w:val="000000"/>
          <w:sz w:val="20"/>
          <w:szCs w:val="20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25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իրավաբանական անձանց դեպքում գրանցման փաստաթղթերը, վերջին աուդիտի արդյունքների վերաբերյալ հաշվետվությունը կամ ֆինանսական հոսքերի մասին հաշվետվություն կամ հաշվեկշիռ, որը ցույց է տալիս իրավաբանական անձի ֆինանսական կայունությունը, վստահելիությունը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26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իրավական փաթեթի և/կամ օրենսդրական վերլուծության առնվազն մեկ օրինակ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Pr="00073C8D" w:rsidRDefault="00073C8D" w:rsidP="00073C8D">
      <w:pPr>
        <w:numPr>
          <w:ilvl w:val="0"/>
          <w:numId w:val="27"/>
        </w:numPr>
        <w:shd w:val="clear" w:color="auto" w:fill="FFFFFF"/>
        <w:spacing w:line="240" w:lineRule="auto"/>
        <w:ind w:left="360" w:firstLine="0"/>
        <w:textAlignment w:val="baseline"/>
        <w:rPr>
          <w:rFonts w:ascii="Tahoma" w:eastAsia="Times New Roman" w:hAnsi="Tahoma" w:cs="Tahoma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գնառաջարկ՝ ըստ </w:t>
      </w:r>
      <w:hyperlink r:id="rId10" w:tgtFrame="_blank" w:history="1">
        <w:r w:rsidRPr="00073C8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val="hy-AM"/>
          </w:rPr>
          <w:t>Հավելվածի:</w:t>
        </w:r>
      </w:hyperlink>
      <w:r w:rsidRPr="00073C8D">
        <w:rPr>
          <w:rFonts w:ascii="Tahoma" w:eastAsia="Times New Roman" w:hAnsi="Tahoma" w:cs="Tahoma"/>
          <w:lang w:val="en-US"/>
        </w:rPr>
        <w:t> </w:t>
      </w:r>
    </w:p>
    <w:p w:rsidR="00073C8D" w:rsidRPr="00291911" w:rsidRDefault="00073C8D" w:rsidP="00291911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Խնդրում ենք վերը նշված փաստաթղթերը էլեկտրոնային փոստով ուղարկել </w:t>
      </w:r>
      <w:hyperlink r:id="rId11" w:tgtFrame="_blank" w:history="1">
        <w:r w:rsidRPr="00073C8D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val="hy-AM"/>
          </w:rPr>
          <w:t>mtemuryan@hcav.am</w:t>
        </w:r>
      </w:hyperlink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 էլեկտրոնային հասցեին մինչև 2025 թվականի </w:t>
      </w:r>
      <w:r w:rsidR="00291911" w:rsidRPr="00291911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հունիսի 15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-ը (ներառյալ)՝ վերնագրում նշելով </w:t>
      </w: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որոշումների կայացման աջակցում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: </w:t>
      </w: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073C8D" w:rsidRDefault="00073C8D" w:rsidP="00073C8D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sz w:val="24"/>
          <w:szCs w:val="24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lastRenderedPageBreak/>
        <w:t>Իրավաբանական անձանց խնդրում ենք նկատի ունենալ, որ ծրագիրն ազատված է ավելացված արժեքի հարկից (ԱԱՀ)։ Հետևաբար գնային առաջարկը պետք է ներկայացնել առանց ԱԱՀ։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Կազմակերպության մասին</w:t>
      </w: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before="24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Հելսինկյան քաղաքացիական ասամբլեայի Վանաձորի գրասենյակը իրավապաշտպան հասարակական կազմակերպություն է, որը միավորում է ժողովրդավարության, հանդուրժողության, բազմակարծության և մարդու իրավունքների գերակայության սկզբունքներն արժևորող անհատների: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Կազմակերպությունն անվճար</w:t>
      </w:r>
      <w:hyperlink r:id="rId12" w:tgtFrame="_blank" w:history="1">
        <w:r w:rsidRPr="00073C8D">
          <w:rPr>
            <w:rFonts w:ascii="Tahoma" w:eastAsia="Times New Roman" w:hAnsi="Tahoma" w:cs="Tahoma"/>
            <w:sz w:val="24"/>
            <w:szCs w:val="24"/>
            <w:lang w:val="hy-AM"/>
          </w:rPr>
          <w:t xml:space="preserve"> իրավական աջակցություն</w:t>
        </w:r>
      </w:hyperlink>
      <w:r w:rsidRPr="00073C8D">
        <w:rPr>
          <w:rFonts w:ascii="Tahoma" w:eastAsia="Times New Roman" w:hAnsi="Tahoma" w:cs="Tahoma"/>
          <w:sz w:val="24"/>
          <w:szCs w:val="24"/>
          <w:lang w:val="hy-AM"/>
        </w:rPr>
        <w:t xml:space="preserve"> է տրամադրում տարեկան շուրջ 1000 քաղաքացու ՀՀ ողջ տարածքում, վարում ռազմավարական դատավարություններ, մշտադիտարկում իրականացնում փակ և կիսափակ հաստատություններում, պետական կառույցների, ՏԻՄ-երի, ընտրական գործընթացների նկատմամբ։ Կատարում է</w:t>
      </w:r>
      <w:hyperlink r:id="rId13" w:tgtFrame="_blank" w:history="1">
        <w:r w:rsidRPr="00073C8D">
          <w:rPr>
            <w:rFonts w:ascii="Tahoma" w:eastAsia="Times New Roman" w:hAnsi="Tahoma" w:cs="Tahoma"/>
            <w:sz w:val="24"/>
            <w:szCs w:val="24"/>
            <w:lang w:val="hy-AM"/>
          </w:rPr>
          <w:t xml:space="preserve"> իրավական ակտերի վերլուծություն և ներկայացնում օրենսդրական առաջարկներ</w:t>
        </w:r>
      </w:hyperlink>
      <w:r w:rsidRPr="00073C8D">
        <w:rPr>
          <w:rFonts w:ascii="Tahoma" w:eastAsia="Times New Roman" w:hAnsi="Tahoma" w:cs="Tahoma"/>
          <w:sz w:val="24"/>
          <w:szCs w:val="24"/>
          <w:lang w:val="hy-AM"/>
        </w:rPr>
        <w:t>, իրականացնում</w:t>
      </w:r>
      <w:hyperlink r:id="rId14" w:tgtFrame="_blank" w:history="1">
        <w:r w:rsidRPr="00073C8D">
          <w:rPr>
            <w:rFonts w:ascii="Tahoma" w:eastAsia="Times New Roman" w:hAnsi="Tahoma" w:cs="Tahoma"/>
            <w:sz w:val="24"/>
            <w:szCs w:val="24"/>
            <w:lang w:val="hy-AM"/>
          </w:rPr>
          <w:t xml:space="preserve"> խաղաղասիրական ծրագրեր</w:t>
        </w:r>
      </w:hyperlink>
      <w:r w:rsidRPr="00073C8D">
        <w:rPr>
          <w:rFonts w:ascii="Tahoma" w:eastAsia="Times New Roman" w:hAnsi="Tahoma" w:cs="Tahoma"/>
          <w:sz w:val="24"/>
          <w:szCs w:val="24"/>
          <w:lang w:val="hy-AM"/>
        </w:rPr>
        <w:t>, կարողությունների զարգացման ու իրազեկման նպատակով դասընթացներ ու քննարկումներ, տեղեկատվություն տրամադրում միջազգային կառույցներին՝ Հայաստանի Հանրապետության ստանձնած միջազգային պարտավորությունների կատարման վերաբերյալ։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Կազմակերպության գործունեության ուղղություններից է հոգեկան առողջության խնդիրներ ունեցող անձանց իրավունքների պաշտպանությունը։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sz w:val="24"/>
          <w:szCs w:val="24"/>
          <w:lang w:val="hy-AM"/>
        </w:rPr>
        <w:t> </w:t>
      </w:r>
    </w:p>
    <w:p w:rsidR="00073C8D" w:rsidRPr="00073C8D" w:rsidRDefault="00073C8D" w:rsidP="00073C8D">
      <w:pPr>
        <w:spacing w:line="240" w:lineRule="auto"/>
        <w:ind w:left="720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 </w:t>
      </w: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Default="00073C8D" w:rsidP="00073C8D">
      <w:pPr>
        <w:spacing w:line="240" w:lineRule="auto"/>
        <w:ind w:left="720"/>
        <w:jc w:val="right"/>
        <w:textAlignment w:val="baseline"/>
        <w:rPr>
          <w:rFonts w:ascii="Tahoma" w:eastAsia="Times New Roman" w:hAnsi="Tahoma" w:cs="Tahoma"/>
          <w:b/>
          <w:bCs/>
          <w:sz w:val="24"/>
          <w:szCs w:val="24"/>
          <w:lang w:val="hy-AM"/>
        </w:rPr>
      </w:pPr>
    </w:p>
    <w:p w:rsidR="00073C8D" w:rsidRPr="00073C8D" w:rsidRDefault="00073C8D" w:rsidP="00073C8D">
      <w:pPr>
        <w:spacing w:line="240" w:lineRule="auto"/>
        <w:ind w:left="720"/>
        <w:jc w:val="right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b/>
          <w:bCs/>
          <w:sz w:val="24"/>
          <w:szCs w:val="24"/>
          <w:lang w:val="hy-AM"/>
        </w:rPr>
        <w:t>Հավելված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b/>
          <w:bCs/>
          <w:i/>
          <w:iCs/>
          <w:color w:val="000000"/>
          <w:sz w:val="19"/>
          <w:szCs w:val="19"/>
          <w:lang w:val="hy-AM"/>
        </w:rPr>
        <w:t> </w:t>
      </w:r>
      <w:r w:rsidRPr="00073C8D">
        <w:rPr>
          <w:rFonts w:ascii="Tahoma" w:eastAsia="Times New Roman" w:hAnsi="Tahoma" w:cs="Tahoma"/>
          <w:color w:val="000000"/>
          <w:sz w:val="19"/>
          <w:szCs w:val="19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b/>
          <w:bCs/>
          <w:color w:val="000000"/>
          <w:lang w:val="hy-AM"/>
        </w:rPr>
        <w:t>ԾԱՌԱՅՈՒԹՅՈՒՆՆԵՐ ՄԱՏՈՒՑՈՂԻ ԳՆԱՌԱՋԱՐԿԻ ՁԵՎ</w:t>
      </w:r>
      <w:r w:rsidRPr="00073C8D">
        <w:rPr>
          <w:rFonts w:ascii="Tahoma" w:eastAsia="Times New Roman" w:hAnsi="Tahoma" w:cs="Tahoma"/>
          <w:color w:val="000000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color w:val="000000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i/>
          <w:iCs/>
          <w:color w:val="000000"/>
          <w:sz w:val="18"/>
          <w:szCs w:val="18"/>
          <w:lang w:val="hy-AM"/>
        </w:rPr>
        <w:t>(իրաբանական անձանց դեպքում Ձևը պետք է ներկայացվի պաշտոնական բլանկի վրա, ունենա ելքային համար և ամսաթիվ)</w:t>
      </w:r>
      <w:r w:rsidRPr="00073C8D">
        <w:rPr>
          <w:rFonts w:ascii="Tahoma" w:eastAsia="Times New Roman" w:hAnsi="Tahoma" w:cs="Tahoma"/>
          <w:color w:val="000000"/>
          <w:sz w:val="18"/>
          <w:szCs w:val="18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color w:val="000000"/>
          <w:lang w:val="hy-AM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color w:val="000000"/>
          <w:lang w:val="hy-AM"/>
        </w:rPr>
        <w:t xml:space="preserve">Սույնով Հելսինկյան քաղաքացիական ասամբլեայի Վանաձորի գրասենյակի դիտարմանն ենք ներկայացնում </w:t>
      </w:r>
      <w:r w:rsidRPr="00073C8D">
        <w:rPr>
          <w:rFonts w:ascii="Tahoma" w:eastAsia="Times New Roman" w:hAnsi="Tahoma" w:cs="Tahoma"/>
          <w:i/>
          <w:iCs/>
          <w:color w:val="000000"/>
          <w:lang w:val="hy-AM"/>
        </w:rPr>
        <w:t xml:space="preserve">[Հայտատու] </w:t>
      </w:r>
      <w:r w:rsidRPr="00073C8D">
        <w:rPr>
          <w:rFonts w:ascii="Tahoma" w:eastAsia="Times New Roman" w:hAnsi="Tahoma" w:cs="Tahoma"/>
          <w:color w:val="000000"/>
          <w:lang w:val="hy-AM"/>
        </w:rPr>
        <w:t>ծառայություն մատուցելու գնառաջակը․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y-AM"/>
        </w:rPr>
      </w:pPr>
      <w:r w:rsidRPr="00073C8D">
        <w:rPr>
          <w:rFonts w:ascii="Tahoma" w:eastAsia="Times New Roman" w:hAnsi="Tahoma" w:cs="Tahoma"/>
          <w:color w:val="000000"/>
          <w:lang w:val="hy-AM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080"/>
        <w:gridCol w:w="1845"/>
        <w:gridCol w:w="2715"/>
      </w:tblGrid>
      <w:tr w:rsidR="00073C8D" w:rsidRPr="00073C8D" w:rsidTr="00073C8D">
        <w:trPr>
          <w:trHeight w:val="300"/>
        </w:trPr>
        <w:tc>
          <w:tcPr>
            <w:tcW w:w="4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Արդյունք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Ընդհանուր գումարի տոկոսը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Վճարման ենթակա գումարը ՀՀ դրամով 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</w:tr>
      <w:tr w:rsidR="00073C8D" w:rsidRPr="00073C8D" w:rsidTr="00073C8D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1․ 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sz w:val="24"/>
                <w:szCs w:val="24"/>
                <w:lang w:val="hy-AM"/>
              </w:rPr>
              <w:t>Աջակցության միջոցով որոշումների կայացման մեխանիզմի ներդրման և կիրարկման իրավական կարգավորումների փաթեթի նախնական տարբերակի ներկայացում</w:t>
            </w:r>
            <w:r w:rsidRPr="00073C8D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20%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073C8D" w:rsidRPr="00073C8D" w:rsidTr="00073C8D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2․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 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sz w:val="24"/>
                <w:szCs w:val="24"/>
                <w:lang w:val="hy-AM"/>
              </w:rPr>
              <w:t>Համապատասխան շահագրգիռ կողմերի հետ հանդիպումներին նախնական տարբերակի ներկայացում, համապատասխան դիտարկումների հավաքագրելում</w:t>
            </w:r>
            <w:r w:rsidRPr="00073C8D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50%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073C8D" w:rsidRPr="00073C8D" w:rsidTr="00073C8D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3․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sz w:val="24"/>
                <w:szCs w:val="24"/>
                <w:lang w:val="hy-AM"/>
              </w:rPr>
              <w:t>Աջակցության միջոցով</w:t>
            </w:r>
            <w:r w:rsidRPr="00073C8D">
              <w:rPr>
                <w:rFonts w:ascii="Tahoma" w:eastAsia="Times New Roman" w:hAnsi="Tahoma" w:cs="Tahoma"/>
                <w:color w:val="212529"/>
                <w:sz w:val="24"/>
                <w:szCs w:val="24"/>
                <w:lang w:val="hy-AM"/>
              </w:rPr>
              <w:t xml:space="preserve"> </w:t>
            </w:r>
            <w:r w:rsidRPr="00073C8D">
              <w:rPr>
                <w:rFonts w:ascii="Tahoma" w:eastAsia="Times New Roman" w:hAnsi="Tahoma" w:cs="Tahoma"/>
                <w:sz w:val="24"/>
                <w:szCs w:val="24"/>
                <w:lang w:val="hy-AM"/>
              </w:rPr>
              <w:t>որոշումների կայացման մեխանիզմի ներդրման և կիրարկման իրավական կարգավորումների փաթեթի վերջնական տարբերակի ներկայացում</w:t>
            </w:r>
            <w:r w:rsidRPr="00073C8D">
              <w:rPr>
                <w:rFonts w:ascii="Tahoma" w:eastAsia="Times New Roman" w:hAnsi="Tahoma" w:cs="Tahoma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30%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  <w:tr w:rsidR="00073C8D" w:rsidRPr="00073C8D" w:rsidTr="00073C8D">
        <w:trPr>
          <w:trHeight w:val="3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Ընդամենը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Tahoma" w:eastAsia="Times New Roman" w:hAnsi="Tahoma" w:cs="Tahoma"/>
                <w:color w:val="000000"/>
                <w:lang w:val="hy-AM"/>
              </w:rPr>
              <w:t>100%</w:t>
            </w:r>
            <w:r w:rsidRPr="00073C8D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73C8D" w:rsidRPr="00073C8D" w:rsidRDefault="00073C8D" w:rsidP="00073C8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73C8D">
              <w:rPr>
                <w:rFonts w:ascii="Calibri" w:eastAsia="Times New Roman" w:hAnsi="Calibri" w:cs="Calibri"/>
                <w:lang w:val="en-US"/>
              </w:rPr>
              <w:t> </w:t>
            </w:r>
          </w:p>
        </w:tc>
      </w:tr>
    </w:tbl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b/>
          <w:bCs/>
          <w:color w:val="000000"/>
          <w:lang w:val="hy-AM"/>
        </w:rPr>
        <w:t> </w:t>
      </w:r>
      <w:r w:rsidRPr="00073C8D">
        <w:rPr>
          <w:rFonts w:ascii="Tahoma" w:eastAsia="Times New Roman" w:hAnsi="Tahoma" w:cs="Tahoma"/>
          <w:color w:val="000000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ind w:left="4455" w:right="153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i/>
          <w:iCs/>
          <w:color w:val="000000"/>
          <w:lang w:val="hy-AM"/>
        </w:rPr>
        <w:t>[Հայտատուի անունը, ազգանունը, ստորագրությունը]</w:t>
      </w:r>
      <w:r w:rsidRPr="00073C8D">
        <w:rPr>
          <w:rFonts w:ascii="Tahoma" w:eastAsia="Times New Roman" w:hAnsi="Tahoma" w:cs="Tahoma"/>
          <w:color w:val="000000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ind w:left="4455" w:right="153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i/>
          <w:iCs/>
          <w:color w:val="000000"/>
          <w:lang w:val="hy-AM"/>
        </w:rPr>
        <w:t>ամսաթիվ</w:t>
      </w:r>
      <w:r w:rsidRPr="00073C8D">
        <w:rPr>
          <w:rFonts w:ascii="Tahoma" w:eastAsia="Times New Roman" w:hAnsi="Tahoma" w:cs="Tahoma"/>
          <w:color w:val="000000"/>
          <w:lang w:val="en-US"/>
        </w:rPr>
        <w:t> </w:t>
      </w:r>
    </w:p>
    <w:p w:rsidR="00073C8D" w:rsidRPr="00073C8D" w:rsidRDefault="00073C8D" w:rsidP="00073C8D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Calibri" w:eastAsia="Times New Roman" w:hAnsi="Calibri" w:cs="Calibri"/>
          <w:lang w:val="en-US"/>
        </w:rPr>
        <w:t> </w:t>
      </w:r>
    </w:p>
    <w:p w:rsidR="00073C8D" w:rsidRPr="00073C8D" w:rsidRDefault="00073C8D" w:rsidP="00073C8D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073C8D">
        <w:rPr>
          <w:rFonts w:ascii="Tahoma" w:eastAsia="Times New Roman" w:hAnsi="Tahoma" w:cs="Tahoma"/>
          <w:sz w:val="24"/>
          <w:szCs w:val="24"/>
          <w:lang w:val="en-US"/>
        </w:rPr>
        <w:t> </w:t>
      </w:r>
    </w:p>
    <w:p w:rsidR="00702BEC" w:rsidRDefault="00702BEC" w:rsidP="00073C8D">
      <w:pPr>
        <w:jc w:val="center"/>
        <w:rPr>
          <w:color w:val="111827"/>
          <w:highlight w:val="white"/>
        </w:rPr>
      </w:pPr>
    </w:p>
    <w:sectPr w:rsidR="00702BEC" w:rsidSect="00073C8D">
      <w:footerReference w:type="default" r:id="rId15"/>
      <w:footerReference w:type="first" r:id="rId16"/>
      <w:pgSz w:w="12240" w:h="15840"/>
      <w:pgMar w:top="81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3B" w:rsidRDefault="005C7C3B">
      <w:pPr>
        <w:spacing w:line="240" w:lineRule="auto"/>
      </w:pPr>
      <w:r>
        <w:separator/>
      </w:r>
    </w:p>
  </w:endnote>
  <w:endnote w:type="continuationSeparator" w:id="0">
    <w:p w:rsidR="005C7C3B" w:rsidRDefault="005C7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EC" w:rsidRDefault="00192DCC">
    <w:pPr>
      <w:jc w:val="right"/>
    </w:pPr>
    <w:r>
      <w:fldChar w:fldCharType="begin"/>
    </w:r>
    <w:r>
      <w:instrText>PAGE</w:instrText>
    </w:r>
    <w:r>
      <w:fldChar w:fldCharType="separate"/>
    </w:r>
    <w:r w:rsidR="002B418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EC" w:rsidRDefault="00702B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3B" w:rsidRDefault="005C7C3B">
      <w:pPr>
        <w:spacing w:line="240" w:lineRule="auto"/>
      </w:pPr>
      <w:r>
        <w:separator/>
      </w:r>
    </w:p>
  </w:footnote>
  <w:footnote w:type="continuationSeparator" w:id="0">
    <w:p w:rsidR="005C7C3B" w:rsidRDefault="005C7C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7E54"/>
    <w:multiLevelType w:val="multilevel"/>
    <w:tmpl w:val="72D0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D1665B"/>
    <w:multiLevelType w:val="multilevel"/>
    <w:tmpl w:val="13C0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F1BC8"/>
    <w:multiLevelType w:val="multilevel"/>
    <w:tmpl w:val="FC70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362764"/>
    <w:multiLevelType w:val="multilevel"/>
    <w:tmpl w:val="E1D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2429C"/>
    <w:multiLevelType w:val="multilevel"/>
    <w:tmpl w:val="5250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C24F97"/>
    <w:multiLevelType w:val="multilevel"/>
    <w:tmpl w:val="32AE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36FF8"/>
    <w:multiLevelType w:val="multilevel"/>
    <w:tmpl w:val="9DDC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31E4E"/>
    <w:multiLevelType w:val="multilevel"/>
    <w:tmpl w:val="B75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E95A8D"/>
    <w:multiLevelType w:val="multilevel"/>
    <w:tmpl w:val="3EB4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042FDA"/>
    <w:multiLevelType w:val="multilevel"/>
    <w:tmpl w:val="E81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6C4F7A"/>
    <w:multiLevelType w:val="multilevel"/>
    <w:tmpl w:val="8AE05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0679B2"/>
    <w:multiLevelType w:val="multilevel"/>
    <w:tmpl w:val="FBDE1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534893"/>
    <w:multiLevelType w:val="multilevel"/>
    <w:tmpl w:val="D93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492FFF"/>
    <w:multiLevelType w:val="multilevel"/>
    <w:tmpl w:val="314CB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DA02BE"/>
    <w:multiLevelType w:val="multilevel"/>
    <w:tmpl w:val="B49A0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F2E7E15"/>
    <w:multiLevelType w:val="multilevel"/>
    <w:tmpl w:val="7B0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1F468C7"/>
    <w:multiLevelType w:val="multilevel"/>
    <w:tmpl w:val="D19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F337D9"/>
    <w:multiLevelType w:val="multilevel"/>
    <w:tmpl w:val="8AE8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FD55687"/>
    <w:multiLevelType w:val="multilevel"/>
    <w:tmpl w:val="66A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E27138"/>
    <w:multiLevelType w:val="multilevel"/>
    <w:tmpl w:val="72F0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0875AB"/>
    <w:multiLevelType w:val="multilevel"/>
    <w:tmpl w:val="BF8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437C8A"/>
    <w:multiLevelType w:val="multilevel"/>
    <w:tmpl w:val="20A48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FBB32A5"/>
    <w:multiLevelType w:val="multilevel"/>
    <w:tmpl w:val="477E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8258DA"/>
    <w:multiLevelType w:val="multilevel"/>
    <w:tmpl w:val="E7B6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3901E6F"/>
    <w:multiLevelType w:val="multilevel"/>
    <w:tmpl w:val="7F18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E659D8"/>
    <w:multiLevelType w:val="multilevel"/>
    <w:tmpl w:val="FB5E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232DD7"/>
    <w:multiLevelType w:val="multilevel"/>
    <w:tmpl w:val="79F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8"/>
  </w:num>
  <w:num w:numId="5">
    <w:abstractNumId w:val="1"/>
  </w:num>
  <w:num w:numId="6">
    <w:abstractNumId w:val="22"/>
  </w:num>
  <w:num w:numId="7">
    <w:abstractNumId w:val="20"/>
  </w:num>
  <w:num w:numId="8">
    <w:abstractNumId w:val="5"/>
  </w:num>
  <w:num w:numId="9">
    <w:abstractNumId w:val="15"/>
  </w:num>
  <w:num w:numId="10">
    <w:abstractNumId w:val="13"/>
  </w:num>
  <w:num w:numId="11">
    <w:abstractNumId w:val="25"/>
  </w:num>
  <w:num w:numId="12">
    <w:abstractNumId w:val="12"/>
  </w:num>
  <w:num w:numId="13">
    <w:abstractNumId w:val="6"/>
  </w:num>
  <w:num w:numId="14">
    <w:abstractNumId w:val="24"/>
  </w:num>
  <w:num w:numId="15">
    <w:abstractNumId w:val="3"/>
  </w:num>
  <w:num w:numId="16">
    <w:abstractNumId w:val="17"/>
  </w:num>
  <w:num w:numId="17">
    <w:abstractNumId w:val="26"/>
  </w:num>
  <w:num w:numId="18">
    <w:abstractNumId w:val="0"/>
  </w:num>
  <w:num w:numId="19">
    <w:abstractNumId w:val="9"/>
  </w:num>
  <w:num w:numId="20">
    <w:abstractNumId w:val="10"/>
  </w:num>
  <w:num w:numId="21">
    <w:abstractNumId w:val="2"/>
  </w:num>
  <w:num w:numId="22">
    <w:abstractNumId w:val="19"/>
  </w:num>
  <w:num w:numId="23">
    <w:abstractNumId w:val="7"/>
  </w:num>
  <w:num w:numId="24">
    <w:abstractNumId w:val="18"/>
  </w:num>
  <w:num w:numId="25">
    <w:abstractNumId w:val="4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EC"/>
    <w:rsid w:val="00073C8D"/>
    <w:rsid w:val="00192DCC"/>
    <w:rsid w:val="00291911"/>
    <w:rsid w:val="002B4180"/>
    <w:rsid w:val="005C7C3B"/>
    <w:rsid w:val="00702BEC"/>
    <w:rsid w:val="00A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3C8789-D8E3-47DD-AA33-B105223F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07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73C8D"/>
  </w:style>
  <w:style w:type="character" w:customStyle="1" w:styleId="eop">
    <w:name w:val="eop"/>
    <w:basedOn w:val="DefaultParagraphFont"/>
    <w:rsid w:val="0007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47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8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9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av.am/gov-24-06-2021/" TargetMode="External"/><Relationship Id="rId13" Type="http://schemas.openxmlformats.org/officeDocument/2006/relationships/hyperlink" Target="https://hcav.am/category/activities/legislave-proposals-and-analysi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hcav.am/category/activities/legal_suppo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emuryan@hcav.a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bookmark://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draft.am/en/projects/4923" TargetMode="External"/><Relationship Id="rId14" Type="http://schemas.openxmlformats.org/officeDocument/2006/relationships/hyperlink" Target="https://hcav.am/category/activities/peacebuil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9872</Characters>
  <Application>Microsoft Office Word</Application>
  <DocSecurity>0</DocSecurity>
  <Lines>340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</cp:revision>
  <dcterms:created xsi:type="dcterms:W3CDTF">2025-05-27T14:38:00Z</dcterms:created>
  <dcterms:modified xsi:type="dcterms:W3CDTF">2025-05-27T14:38:00Z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459b192d-bf06-492d-b6c4-8117eb53a161</vt:lpwstr>
  </property>
</Properties>
</file>